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B3" w:rsidRPr="008F02B3" w:rsidRDefault="008F02B3" w:rsidP="008F02B3">
      <w:pPr>
        <w:autoSpaceDE w:val="0"/>
        <w:autoSpaceDN w:val="0"/>
        <w:adjustRightInd w:val="0"/>
        <w:spacing w:after="0" w:line="240" w:lineRule="auto"/>
        <w:rPr>
          <w:rFonts w:ascii="Arial-BoldMT" w:hAnsi="Arial-BoldMT" w:cs="Arial-BoldMT"/>
          <w:b/>
          <w:bCs/>
          <w:color w:val="FF6D02"/>
          <w:sz w:val="44"/>
          <w:szCs w:val="44"/>
        </w:rPr>
      </w:pPr>
      <w:bookmarkStart w:id="0" w:name="_GoBack"/>
      <w:bookmarkEnd w:id="0"/>
      <w:r w:rsidRPr="008F02B3">
        <w:rPr>
          <w:rFonts w:ascii="Arial-BoldMT" w:hAnsi="Arial-BoldMT" w:cs="Arial-BoldMT"/>
          <w:b/>
          <w:bCs/>
          <w:color w:val="FF6D02"/>
          <w:sz w:val="44"/>
          <w:szCs w:val="44"/>
        </w:rPr>
        <w:t>Top tips for quitting smoking</w:t>
      </w: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Getting professional help</w:t>
      </w:r>
    </w:p>
    <w:p w:rsidR="008F02B3" w:rsidRDefault="008F02B3" w:rsidP="00AD5D48">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You’ve done the right thing in getting some support, all our advisors are trained to support you and prescribe medications that will help withdrawal symptoms</w:t>
      </w:r>
    </w:p>
    <w:p w:rsidR="008F02B3" w:rsidRDefault="008F02B3" w:rsidP="008F02B3">
      <w:pPr>
        <w:autoSpaceDE w:val="0"/>
        <w:autoSpaceDN w:val="0"/>
        <w:adjustRightInd w:val="0"/>
        <w:spacing w:after="0" w:line="240" w:lineRule="auto"/>
        <w:rPr>
          <w:rFonts w:ascii="ArialMT" w:hAnsi="ArialMT" w:cs="ArialMT"/>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Prepare mentally</w:t>
      </w:r>
    </w:p>
    <w:p w:rsidR="008F02B3" w:rsidRDefault="008F02B3" w:rsidP="00AD5D48">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You are not alone! Around two-thirds of British smokers would like to quit and about seven million try each year. More than 15 million people in Britain have quit and are now ex-smokers.</w:t>
      </w:r>
    </w:p>
    <w:p w:rsidR="008F02B3" w:rsidRPr="00AD5D48" w:rsidRDefault="008F02B3" w:rsidP="00AD5D48">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However, some smokers find it challenging to give up nicotine because it is a powerful and addictive drug. Try to think about what you will gain if you stop smoking rather that what you will lose. A former 60-a-day smoker (and author of best-selling </w:t>
      </w:r>
      <w:r w:rsidRPr="00AD5D48">
        <w:rPr>
          <w:rFonts w:ascii="ArialMT" w:hAnsi="ArialMT" w:cs="ArialMT"/>
          <w:color w:val="000000"/>
          <w:sz w:val="24"/>
          <w:szCs w:val="24"/>
        </w:rPr>
        <w:t>The Easy Way to Stop Smoking</w:t>
      </w:r>
      <w:r>
        <w:rPr>
          <w:rFonts w:ascii="ArialMT" w:hAnsi="ArialMT" w:cs="ArialMT"/>
          <w:color w:val="000000"/>
          <w:sz w:val="24"/>
          <w:szCs w:val="24"/>
        </w:rPr>
        <w:t xml:space="preserve">), the late Allen </w:t>
      </w:r>
      <w:proofErr w:type="spellStart"/>
      <w:r>
        <w:rPr>
          <w:rFonts w:ascii="ArialMT" w:hAnsi="ArialMT" w:cs="ArialMT"/>
          <w:color w:val="000000"/>
          <w:sz w:val="24"/>
          <w:szCs w:val="24"/>
        </w:rPr>
        <w:t>Carr</w:t>
      </w:r>
      <w:proofErr w:type="spellEnd"/>
      <w:r>
        <w:rPr>
          <w:rFonts w:ascii="ArialMT" w:hAnsi="ArialMT" w:cs="ArialMT"/>
          <w:color w:val="000000"/>
          <w:sz w:val="24"/>
          <w:szCs w:val="24"/>
        </w:rPr>
        <w:t xml:space="preserve">, said: </w:t>
      </w:r>
      <w:r w:rsidRPr="00AD5D48">
        <w:rPr>
          <w:rFonts w:ascii="ArialMT" w:hAnsi="ArialMT" w:cs="ArialMT"/>
          <w:color w:val="000000"/>
          <w:sz w:val="24"/>
          <w:szCs w:val="24"/>
        </w:rPr>
        <w:t>“there is absolutely nothing to give up… there is no genuine pleasure or crutch in smoking. It is just an illusion, like banging your head against a wall to make it pleasant when you stop.”</w:t>
      </w:r>
    </w:p>
    <w:p w:rsidR="008F02B3" w:rsidRPr="00AD5D48" w:rsidRDefault="008F02B3" w:rsidP="00AD5D48">
      <w:pPr>
        <w:autoSpaceDE w:val="0"/>
        <w:autoSpaceDN w:val="0"/>
        <w:adjustRightInd w:val="0"/>
        <w:spacing w:after="0" w:line="240" w:lineRule="auto"/>
        <w:jc w:val="both"/>
        <w:rPr>
          <w:rFonts w:ascii="ArialMT" w:hAnsi="ArialMT" w:cs="ArialMT"/>
          <w:color w:val="000000"/>
          <w:sz w:val="24"/>
          <w:szCs w:val="24"/>
        </w:rPr>
      </w:pPr>
      <w:r w:rsidRPr="00AD5D48">
        <w:rPr>
          <w:rFonts w:ascii="ArialMT" w:hAnsi="ArialMT" w:cs="ArialMT"/>
          <w:color w:val="000000"/>
          <w:sz w:val="24"/>
          <w:szCs w:val="24"/>
        </w:rPr>
        <w:t>Or it is like wearing shoes that are 2 sizes too small all day, just to feel the pleasure of kicking them off in the evening.</w:t>
      </w:r>
    </w:p>
    <w:p w:rsidR="003C398B" w:rsidRPr="008F02B3" w:rsidRDefault="003C398B" w:rsidP="00AD5D48">
      <w:pPr>
        <w:autoSpaceDE w:val="0"/>
        <w:autoSpaceDN w:val="0"/>
        <w:adjustRightInd w:val="0"/>
        <w:spacing w:after="0" w:line="240" w:lineRule="auto"/>
        <w:jc w:val="both"/>
        <w:rPr>
          <w:rFonts w:ascii="Arial-ItalicMT" w:hAnsi="Arial-ItalicMT" w:cs="Arial-ItalicMT"/>
          <w:iCs/>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The pleasure myth</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Smoking feels pleasurable, but much of the pleasure of smoking is </w:t>
      </w:r>
      <w:proofErr w:type="gramStart"/>
      <w:r>
        <w:rPr>
          <w:rFonts w:ascii="ArialMT" w:hAnsi="ArialMT" w:cs="ArialMT"/>
          <w:color w:val="000000"/>
          <w:sz w:val="24"/>
          <w:szCs w:val="24"/>
        </w:rPr>
        <w:t>actually relief</w:t>
      </w:r>
      <w:proofErr w:type="gramEnd"/>
      <w:r>
        <w:rPr>
          <w:rFonts w:ascii="ArialMT" w:hAnsi="ArialMT" w:cs="ArialMT"/>
          <w:color w:val="000000"/>
          <w:sz w:val="24"/>
          <w:szCs w:val="24"/>
        </w:rPr>
        <w:t xml:space="preserve"> from nicotine withdrawal. Soon after smoking a cigarette the body starts to crave nicotine and many smokers will feel increasingly uncomfortable until they have the next cigarette. Smokers often report feeling distracted or unable to enjoy themselves when they are not able to smoke. This is nicotine withdrawal in action.</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Understand what to expect</w:t>
      </w:r>
    </w:p>
    <w:p w:rsidR="008F02B3" w:rsidRDefault="008F02B3" w:rsidP="00AD5D48">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 xml:space="preserve">Many smokers find the first few days after quitting to be the most difficult, but things will typically start to get better after the third or fourth day. Nicotine withdrawal may make you restless, irritable, frustrated, sleepless, or accident prone - but these things will pass, and you will quickly start to feel the benefits. </w:t>
      </w:r>
    </w:p>
    <w:p w:rsidR="008F02B3" w:rsidRDefault="008F02B3" w:rsidP="008F02B3">
      <w:pPr>
        <w:autoSpaceDE w:val="0"/>
        <w:autoSpaceDN w:val="0"/>
        <w:adjustRightInd w:val="0"/>
        <w:spacing w:after="0" w:line="240" w:lineRule="auto"/>
        <w:rPr>
          <w:rFonts w:ascii="ArialMT" w:hAnsi="ArialMT" w:cs="ArialMT"/>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Make a list of reasons why you want to stop smoking</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Everyone has their own reason for wanting to quit. Thinking about why you decided to quit can help you manage the more difficult moments. Reasons could include:</w:t>
      </w:r>
    </w:p>
    <w:p w:rsidR="00AD5D48" w:rsidRDefault="00AD5D48" w:rsidP="008F02B3">
      <w:pPr>
        <w:autoSpaceDE w:val="0"/>
        <w:autoSpaceDN w:val="0"/>
        <w:adjustRightInd w:val="0"/>
        <w:spacing w:after="0" w:line="240" w:lineRule="auto"/>
        <w:rPr>
          <w:rFonts w:ascii="ArialMT" w:hAnsi="ArialMT" w:cs="ArialMT"/>
          <w:color w:val="000000"/>
          <w:sz w:val="24"/>
          <w:szCs w:val="24"/>
        </w:rPr>
      </w:pP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To live longer and stay well - half of all long-term smokers die prematurely of a smoking related disease.</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Better all-round health: stopping smoking reduces the risk of 50 different illnesses and conditions.</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The risk of a heart attack drops by a half one year after quitting</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The risk of cancer continues to fall with every year of not smoking</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Set a good example to children - I don’t want to be a smoking role model</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Have lots of money to spend on other things - smoking 10 a day costs around   £1460 per year</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Improved fitness and easier breathing – better at sports and getting up stairs</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Better chance of having a healthy baby</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lastRenderedPageBreak/>
        <w:t>Food tastes better</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Better skin; avoid premature wrinkles</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Fresher breath, hair and clothes, and no more cigarette smells around the house</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Back in control of my life, no more cravings</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Travel on trains, aircraft, buses will be easier</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Won’t have to keep going outside for smoking break when I’m at work</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Don’t want to give money to tobacco companies</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Concern about environmental impact of tobacco growing</w:t>
      </w:r>
    </w:p>
    <w:p w:rsidR="008F02B3" w:rsidRPr="00AD5D48" w:rsidRDefault="008F02B3" w:rsidP="00AD5D48">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AD5D48">
        <w:rPr>
          <w:rFonts w:ascii="ArialMT" w:hAnsi="ArialMT" w:cs="ArialMT"/>
          <w:color w:val="000000"/>
          <w:sz w:val="24"/>
          <w:szCs w:val="24"/>
        </w:rPr>
        <w:t>Other reasons</w:t>
      </w:r>
      <w:r w:rsidR="00AD5D48" w:rsidRPr="00AD5D48">
        <w:rPr>
          <w:rFonts w:ascii="ArialMT" w:hAnsi="ArialMT" w:cs="ArialMT"/>
          <w:color w:val="000000"/>
          <w:sz w:val="24"/>
          <w:szCs w:val="24"/>
        </w:rPr>
        <w:t>…</w:t>
      </w:r>
    </w:p>
    <w:p w:rsidR="008F02B3" w:rsidRDefault="008F02B3" w:rsidP="008F02B3">
      <w:pPr>
        <w:autoSpaceDE w:val="0"/>
        <w:autoSpaceDN w:val="0"/>
        <w:adjustRightInd w:val="0"/>
        <w:spacing w:after="0" w:line="240" w:lineRule="auto"/>
        <w:rPr>
          <w:rFonts w:ascii="ArialMT" w:hAnsi="ArialMT" w:cs="ArialMT"/>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Consider the money</w:t>
      </w:r>
    </w:p>
    <w:p w:rsidR="008F02B3" w:rsidRDefault="00DF35BA"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Based on </w:t>
      </w:r>
      <w:r w:rsidR="008F02B3">
        <w:rPr>
          <w:rFonts w:ascii="ArialMT" w:hAnsi="ArialMT" w:cs="ArialMT"/>
          <w:color w:val="000000"/>
          <w:sz w:val="24"/>
          <w:szCs w:val="24"/>
        </w:rPr>
        <w:t xml:space="preserve">cigarettes </w:t>
      </w:r>
      <w:r>
        <w:rPr>
          <w:rFonts w:ascii="ArialMT" w:hAnsi="ArialMT" w:cs="ArialMT"/>
          <w:color w:val="000000"/>
          <w:sz w:val="24"/>
          <w:szCs w:val="24"/>
        </w:rPr>
        <w:t>costing</w:t>
      </w:r>
      <w:r w:rsidR="008F02B3">
        <w:rPr>
          <w:rFonts w:ascii="ArialMT" w:hAnsi="ArialMT" w:cs="ArialMT"/>
          <w:color w:val="000000"/>
          <w:sz w:val="24"/>
          <w:szCs w:val="24"/>
        </w:rPr>
        <w:t xml:space="preserve"> around £8.00 for a packet of 20. The table shows how much</w:t>
      </w:r>
      <w:r>
        <w:rPr>
          <w:rFonts w:ascii="ArialMT" w:hAnsi="ArialMT" w:cs="ArialMT"/>
          <w:color w:val="000000"/>
          <w:sz w:val="24"/>
          <w:szCs w:val="24"/>
        </w:rPr>
        <w:t xml:space="preserve"> </w:t>
      </w:r>
      <w:r w:rsidR="008F02B3">
        <w:rPr>
          <w:rFonts w:ascii="ArialMT" w:hAnsi="ArialMT" w:cs="ArialMT"/>
          <w:color w:val="000000"/>
          <w:sz w:val="24"/>
          <w:szCs w:val="24"/>
        </w:rPr>
        <w:t>smoking costs at current prices.</w:t>
      </w:r>
    </w:p>
    <w:p w:rsidR="008F02B3" w:rsidRDefault="008F02B3" w:rsidP="008F02B3">
      <w:pPr>
        <w:autoSpaceDE w:val="0"/>
        <w:autoSpaceDN w:val="0"/>
        <w:adjustRightInd w:val="0"/>
        <w:spacing w:after="0" w:line="240" w:lineRule="auto"/>
        <w:rPr>
          <w:rFonts w:ascii="Arial-BoldMT" w:hAnsi="Arial-BoldMT" w:cs="Arial-BoldMT"/>
          <w:b/>
          <w:bCs/>
          <w:color w:val="000000"/>
          <w:sz w:val="24"/>
          <w:szCs w:val="24"/>
        </w:rPr>
      </w:pPr>
    </w:p>
    <w:tbl>
      <w:tblPr>
        <w:tblStyle w:val="TableGrid"/>
        <w:tblW w:w="0" w:type="auto"/>
        <w:tblLook w:val="04A0" w:firstRow="1" w:lastRow="0" w:firstColumn="1" w:lastColumn="0" w:noHBand="0" w:noVBand="1"/>
      </w:tblPr>
      <w:tblGrid>
        <w:gridCol w:w="1391"/>
        <w:gridCol w:w="1236"/>
        <w:gridCol w:w="1265"/>
        <w:gridCol w:w="1251"/>
        <w:gridCol w:w="1265"/>
        <w:gridCol w:w="1268"/>
        <w:gridCol w:w="1340"/>
      </w:tblGrid>
      <w:tr w:rsidR="00DF35BA" w:rsidTr="00AD5D48">
        <w:tc>
          <w:tcPr>
            <w:tcW w:w="1390" w:type="dxa"/>
          </w:tcPr>
          <w:p w:rsidR="008F02B3" w:rsidRDefault="008F02B3"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Cigarettes per day</w:t>
            </w:r>
          </w:p>
        </w:tc>
        <w:tc>
          <w:tcPr>
            <w:tcW w:w="1256" w:type="dxa"/>
          </w:tcPr>
          <w:p w:rsidR="008F02B3" w:rsidRDefault="008F02B3"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Cost per day</w:t>
            </w:r>
          </w:p>
        </w:tc>
        <w:tc>
          <w:tcPr>
            <w:tcW w:w="1274" w:type="dxa"/>
          </w:tcPr>
          <w:p w:rsidR="008F02B3" w:rsidRDefault="008F02B3"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Cost per week</w:t>
            </w:r>
          </w:p>
        </w:tc>
        <w:tc>
          <w:tcPr>
            <w:tcW w:w="1265" w:type="dxa"/>
          </w:tcPr>
          <w:p w:rsidR="008F02B3" w:rsidRDefault="00DF35BA"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1 Year</w:t>
            </w:r>
          </w:p>
        </w:tc>
        <w:tc>
          <w:tcPr>
            <w:tcW w:w="1274" w:type="dxa"/>
          </w:tcPr>
          <w:p w:rsidR="008F02B3" w:rsidRDefault="00DF35BA"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5 Years</w:t>
            </w:r>
          </w:p>
        </w:tc>
        <w:tc>
          <w:tcPr>
            <w:tcW w:w="1274" w:type="dxa"/>
          </w:tcPr>
          <w:p w:rsidR="008F02B3" w:rsidRDefault="00DF35BA"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10 Years</w:t>
            </w:r>
          </w:p>
        </w:tc>
        <w:tc>
          <w:tcPr>
            <w:tcW w:w="1283" w:type="dxa"/>
          </w:tcPr>
          <w:p w:rsidR="008F02B3" w:rsidRDefault="00DF35BA" w:rsidP="008F02B3">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20 Years</w:t>
            </w:r>
          </w:p>
        </w:tc>
      </w:tr>
      <w:tr w:rsidR="00DF35BA" w:rsidTr="00AD5D48">
        <w:tc>
          <w:tcPr>
            <w:tcW w:w="1390"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5</w:t>
            </w:r>
          </w:p>
        </w:tc>
        <w:tc>
          <w:tcPr>
            <w:tcW w:w="1256"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£2.00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£14.04</w:t>
            </w:r>
          </w:p>
        </w:tc>
        <w:tc>
          <w:tcPr>
            <w:tcW w:w="1265"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£730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£3,650</w:t>
            </w:r>
          </w:p>
        </w:tc>
        <w:tc>
          <w:tcPr>
            <w:tcW w:w="1274" w:type="dxa"/>
          </w:tcPr>
          <w:p w:rsidR="008F02B3" w:rsidRDefault="00DF35BA" w:rsidP="00AD5D48">
            <w:pPr>
              <w:autoSpaceDE w:val="0"/>
              <w:autoSpaceDN w:val="0"/>
              <w:adjustRightInd w:val="0"/>
              <w:spacing w:before="40" w:after="40"/>
              <w:ind w:right="62"/>
              <w:jc w:val="right"/>
              <w:rPr>
                <w:rFonts w:ascii="Arial-BoldMT" w:hAnsi="Arial-BoldMT" w:cs="Arial-BoldMT"/>
                <w:b/>
                <w:bCs/>
                <w:color w:val="000000"/>
                <w:sz w:val="24"/>
                <w:szCs w:val="24"/>
              </w:rPr>
            </w:pPr>
            <w:r>
              <w:rPr>
                <w:rFonts w:ascii="Arial-BoldMT" w:hAnsi="Arial-BoldMT" w:cs="Arial-BoldMT"/>
                <w:b/>
                <w:bCs/>
                <w:color w:val="000000"/>
                <w:sz w:val="24"/>
                <w:szCs w:val="24"/>
              </w:rPr>
              <w:t>£7,300</w:t>
            </w:r>
          </w:p>
        </w:tc>
        <w:tc>
          <w:tcPr>
            <w:tcW w:w="1283" w:type="dxa"/>
          </w:tcPr>
          <w:p w:rsidR="008F02B3" w:rsidRDefault="00DF35BA" w:rsidP="00AD5D48">
            <w:pPr>
              <w:autoSpaceDE w:val="0"/>
              <w:autoSpaceDN w:val="0"/>
              <w:adjustRightInd w:val="0"/>
              <w:spacing w:before="40" w:after="40"/>
              <w:ind w:right="122"/>
              <w:jc w:val="right"/>
              <w:rPr>
                <w:rFonts w:ascii="Arial-BoldMT" w:hAnsi="Arial-BoldMT" w:cs="Arial-BoldMT"/>
                <w:b/>
                <w:bCs/>
                <w:color w:val="000000"/>
                <w:sz w:val="24"/>
                <w:szCs w:val="24"/>
              </w:rPr>
            </w:pPr>
            <w:r>
              <w:rPr>
                <w:rFonts w:ascii="Arial-BoldMT" w:hAnsi="Arial-BoldMT" w:cs="Arial-BoldMT"/>
                <w:b/>
                <w:bCs/>
                <w:color w:val="000000"/>
                <w:sz w:val="24"/>
                <w:szCs w:val="24"/>
              </w:rPr>
              <w:t>£14,600</w:t>
            </w:r>
          </w:p>
        </w:tc>
      </w:tr>
      <w:tr w:rsidR="00DF35BA" w:rsidTr="00AD5D48">
        <w:tc>
          <w:tcPr>
            <w:tcW w:w="1390"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10</w:t>
            </w:r>
          </w:p>
        </w:tc>
        <w:tc>
          <w:tcPr>
            <w:tcW w:w="1256"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£4.00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£28.08</w:t>
            </w:r>
          </w:p>
        </w:tc>
        <w:tc>
          <w:tcPr>
            <w:tcW w:w="1265"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£1,460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£7,300</w:t>
            </w:r>
          </w:p>
        </w:tc>
        <w:tc>
          <w:tcPr>
            <w:tcW w:w="1274" w:type="dxa"/>
          </w:tcPr>
          <w:p w:rsidR="008F02B3" w:rsidRDefault="00DF35BA" w:rsidP="00AD5D48">
            <w:pPr>
              <w:autoSpaceDE w:val="0"/>
              <w:autoSpaceDN w:val="0"/>
              <w:adjustRightInd w:val="0"/>
              <w:spacing w:before="40" w:after="40"/>
              <w:ind w:right="62"/>
              <w:jc w:val="right"/>
              <w:rPr>
                <w:rFonts w:ascii="Arial-BoldMT" w:hAnsi="Arial-BoldMT" w:cs="Arial-BoldMT"/>
                <w:b/>
                <w:bCs/>
                <w:color w:val="000000"/>
                <w:sz w:val="24"/>
                <w:szCs w:val="24"/>
              </w:rPr>
            </w:pPr>
            <w:r>
              <w:rPr>
                <w:rFonts w:ascii="Arial-BoldMT" w:hAnsi="Arial-BoldMT" w:cs="Arial-BoldMT"/>
                <w:b/>
                <w:bCs/>
                <w:color w:val="000000"/>
                <w:sz w:val="24"/>
                <w:szCs w:val="24"/>
              </w:rPr>
              <w:t>£14,600</w:t>
            </w:r>
          </w:p>
        </w:tc>
        <w:tc>
          <w:tcPr>
            <w:tcW w:w="1283" w:type="dxa"/>
          </w:tcPr>
          <w:p w:rsidR="008F02B3" w:rsidRDefault="00DF35BA" w:rsidP="00AD5D48">
            <w:pPr>
              <w:autoSpaceDE w:val="0"/>
              <w:autoSpaceDN w:val="0"/>
              <w:adjustRightInd w:val="0"/>
              <w:spacing w:before="40" w:after="40"/>
              <w:ind w:right="122"/>
              <w:jc w:val="right"/>
              <w:rPr>
                <w:rFonts w:ascii="Arial-BoldMT" w:hAnsi="Arial-BoldMT" w:cs="Arial-BoldMT"/>
                <w:b/>
                <w:bCs/>
                <w:color w:val="000000"/>
                <w:sz w:val="24"/>
                <w:szCs w:val="24"/>
              </w:rPr>
            </w:pPr>
            <w:r>
              <w:rPr>
                <w:rFonts w:ascii="Arial-BoldMT" w:hAnsi="Arial-BoldMT" w:cs="Arial-BoldMT"/>
                <w:b/>
                <w:bCs/>
                <w:color w:val="000000"/>
                <w:sz w:val="24"/>
                <w:szCs w:val="24"/>
              </w:rPr>
              <w:t>£29,200</w:t>
            </w:r>
          </w:p>
        </w:tc>
      </w:tr>
      <w:tr w:rsidR="00DF35BA" w:rsidTr="00AD5D48">
        <w:tc>
          <w:tcPr>
            <w:tcW w:w="1390"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15</w:t>
            </w:r>
          </w:p>
        </w:tc>
        <w:tc>
          <w:tcPr>
            <w:tcW w:w="1256"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£6.00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£42.12</w:t>
            </w:r>
          </w:p>
        </w:tc>
        <w:tc>
          <w:tcPr>
            <w:tcW w:w="1265"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£2,190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£10,950</w:t>
            </w:r>
          </w:p>
        </w:tc>
        <w:tc>
          <w:tcPr>
            <w:tcW w:w="1274" w:type="dxa"/>
          </w:tcPr>
          <w:p w:rsidR="008F02B3" w:rsidRDefault="00DF35BA" w:rsidP="00AD5D48">
            <w:pPr>
              <w:autoSpaceDE w:val="0"/>
              <w:autoSpaceDN w:val="0"/>
              <w:adjustRightInd w:val="0"/>
              <w:spacing w:before="40" w:after="40"/>
              <w:ind w:right="62"/>
              <w:jc w:val="right"/>
              <w:rPr>
                <w:rFonts w:ascii="Arial-BoldMT" w:hAnsi="Arial-BoldMT" w:cs="Arial-BoldMT"/>
                <w:b/>
                <w:bCs/>
                <w:color w:val="000000"/>
                <w:sz w:val="24"/>
                <w:szCs w:val="24"/>
              </w:rPr>
            </w:pPr>
            <w:r>
              <w:rPr>
                <w:rFonts w:ascii="Arial-BoldMT" w:hAnsi="Arial-BoldMT" w:cs="Arial-BoldMT"/>
                <w:b/>
                <w:bCs/>
                <w:color w:val="000000"/>
                <w:sz w:val="24"/>
                <w:szCs w:val="24"/>
              </w:rPr>
              <w:t>£21,900</w:t>
            </w:r>
          </w:p>
        </w:tc>
        <w:tc>
          <w:tcPr>
            <w:tcW w:w="1283" w:type="dxa"/>
          </w:tcPr>
          <w:p w:rsidR="008F02B3" w:rsidRDefault="00DF35BA" w:rsidP="00AD5D48">
            <w:pPr>
              <w:autoSpaceDE w:val="0"/>
              <w:autoSpaceDN w:val="0"/>
              <w:adjustRightInd w:val="0"/>
              <w:spacing w:before="40" w:after="40"/>
              <w:ind w:right="122"/>
              <w:jc w:val="right"/>
              <w:rPr>
                <w:rFonts w:ascii="Arial-BoldMT" w:hAnsi="Arial-BoldMT" w:cs="Arial-BoldMT"/>
                <w:b/>
                <w:bCs/>
                <w:color w:val="000000"/>
                <w:sz w:val="24"/>
                <w:szCs w:val="24"/>
              </w:rPr>
            </w:pPr>
            <w:r>
              <w:rPr>
                <w:rFonts w:ascii="Arial-BoldMT" w:hAnsi="Arial-BoldMT" w:cs="Arial-BoldMT"/>
                <w:b/>
                <w:bCs/>
                <w:color w:val="000000"/>
                <w:sz w:val="24"/>
                <w:szCs w:val="24"/>
              </w:rPr>
              <w:t>£43,800</w:t>
            </w:r>
          </w:p>
        </w:tc>
      </w:tr>
      <w:tr w:rsidR="00DF35BA" w:rsidTr="00AD5D48">
        <w:tc>
          <w:tcPr>
            <w:tcW w:w="1390"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20</w:t>
            </w:r>
          </w:p>
        </w:tc>
        <w:tc>
          <w:tcPr>
            <w:tcW w:w="1256"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£8.00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£56.15</w:t>
            </w:r>
          </w:p>
        </w:tc>
        <w:tc>
          <w:tcPr>
            <w:tcW w:w="1265"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£2,920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£14,600</w:t>
            </w:r>
          </w:p>
        </w:tc>
        <w:tc>
          <w:tcPr>
            <w:tcW w:w="1274" w:type="dxa"/>
          </w:tcPr>
          <w:p w:rsidR="008F02B3" w:rsidRDefault="00DF35BA" w:rsidP="00AD5D48">
            <w:pPr>
              <w:autoSpaceDE w:val="0"/>
              <w:autoSpaceDN w:val="0"/>
              <w:adjustRightInd w:val="0"/>
              <w:spacing w:before="40" w:after="40"/>
              <w:ind w:right="62"/>
              <w:jc w:val="right"/>
              <w:rPr>
                <w:rFonts w:ascii="Arial-BoldMT" w:hAnsi="Arial-BoldMT" w:cs="Arial-BoldMT"/>
                <w:b/>
                <w:bCs/>
                <w:color w:val="000000"/>
                <w:sz w:val="24"/>
                <w:szCs w:val="24"/>
              </w:rPr>
            </w:pPr>
            <w:r>
              <w:rPr>
                <w:rFonts w:ascii="Arial-BoldMT" w:hAnsi="Arial-BoldMT" w:cs="Arial-BoldMT"/>
                <w:b/>
                <w:bCs/>
                <w:color w:val="000000"/>
                <w:sz w:val="24"/>
                <w:szCs w:val="24"/>
              </w:rPr>
              <w:t>£29,200</w:t>
            </w:r>
          </w:p>
        </w:tc>
        <w:tc>
          <w:tcPr>
            <w:tcW w:w="1283" w:type="dxa"/>
          </w:tcPr>
          <w:p w:rsidR="008F02B3" w:rsidRDefault="00DF35BA" w:rsidP="00AD5D48">
            <w:pPr>
              <w:autoSpaceDE w:val="0"/>
              <w:autoSpaceDN w:val="0"/>
              <w:adjustRightInd w:val="0"/>
              <w:spacing w:before="40" w:after="40"/>
              <w:ind w:right="122"/>
              <w:jc w:val="right"/>
              <w:rPr>
                <w:rFonts w:ascii="Arial-BoldMT" w:hAnsi="Arial-BoldMT" w:cs="Arial-BoldMT"/>
                <w:b/>
                <w:bCs/>
                <w:color w:val="000000"/>
                <w:sz w:val="24"/>
                <w:szCs w:val="24"/>
              </w:rPr>
            </w:pPr>
            <w:r>
              <w:rPr>
                <w:rFonts w:ascii="Arial-BoldMT" w:hAnsi="Arial-BoldMT" w:cs="Arial-BoldMT"/>
                <w:b/>
                <w:bCs/>
                <w:color w:val="000000"/>
                <w:sz w:val="24"/>
                <w:szCs w:val="24"/>
              </w:rPr>
              <w:t>£58,400</w:t>
            </w:r>
          </w:p>
        </w:tc>
      </w:tr>
      <w:tr w:rsidR="00DF35BA" w:rsidTr="00AD5D48">
        <w:tc>
          <w:tcPr>
            <w:tcW w:w="1390"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40</w:t>
            </w:r>
          </w:p>
        </w:tc>
        <w:tc>
          <w:tcPr>
            <w:tcW w:w="1256"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£16</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£112.31</w:t>
            </w:r>
          </w:p>
        </w:tc>
        <w:tc>
          <w:tcPr>
            <w:tcW w:w="1265"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£5,840</w:t>
            </w:r>
          </w:p>
        </w:tc>
        <w:tc>
          <w:tcPr>
            <w:tcW w:w="1274" w:type="dxa"/>
          </w:tcPr>
          <w:p w:rsidR="008F02B3" w:rsidRDefault="00DF35BA" w:rsidP="00AD5D48">
            <w:pPr>
              <w:autoSpaceDE w:val="0"/>
              <w:autoSpaceDN w:val="0"/>
              <w:adjustRightInd w:val="0"/>
              <w:spacing w:before="40" w:after="40"/>
              <w:jc w:val="right"/>
              <w:rPr>
                <w:rFonts w:ascii="Arial-BoldMT" w:hAnsi="Arial-BoldMT" w:cs="Arial-BoldMT"/>
                <w:b/>
                <w:bCs/>
                <w:color w:val="000000"/>
                <w:sz w:val="24"/>
                <w:szCs w:val="24"/>
              </w:rPr>
            </w:pPr>
            <w:r>
              <w:rPr>
                <w:rFonts w:ascii="Arial-BoldMT" w:hAnsi="Arial-BoldMT" w:cs="Arial-BoldMT"/>
                <w:b/>
                <w:bCs/>
                <w:color w:val="000000"/>
                <w:sz w:val="24"/>
                <w:szCs w:val="24"/>
              </w:rPr>
              <w:t>£29,200</w:t>
            </w:r>
          </w:p>
        </w:tc>
        <w:tc>
          <w:tcPr>
            <w:tcW w:w="1274" w:type="dxa"/>
          </w:tcPr>
          <w:p w:rsidR="008F02B3" w:rsidRDefault="00DF35BA" w:rsidP="00AD5D48">
            <w:pPr>
              <w:autoSpaceDE w:val="0"/>
              <w:autoSpaceDN w:val="0"/>
              <w:adjustRightInd w:val="0"/>
              <w:spacing w:before="40" w:after="40"/>
              <w:ind w:right="62"/>
              <w:jc w:val="right"/>
              <w:rPr>
                <w:rFonts w:ascii="Arial-BoldMT" w:hAnsi="Arial-BoldMT" w:cs="Arial-BoldMT"/>
                <w:b/>
                <w:bCs/>
                <w:color w:val="000000"/>
                <w:sz w:val="24"/>
                <w:szCs w:val="24"/>
              </w:rPr>
            </w:pPr>
            <w:r>
              <w:rPr>
                <w:rFonts w:ascii="Arial-BoldMT" w:hAnsi="Arial-BoldMT" w:cs="Arial-BoldMT"/>
                <w:b/>
                <w:bCs/>
                <w:color w:val="000000"/>
                <w:sz w:val="24"/>
                <w:szCs w:val="24"/>
              </w:rPr>
              <w:t>£58,400</w:t>
            </w:r>
          </w:p>
        </w:tc>
        <w:tc>
          <w:tcPr>
            <w:tcW w:w="1283" w:type="dxa"/>
          </w:tcPr>
          <w:p w:rsidR="008F02B3" w:rsidRDefault="00DF35BA" w:rsidP="00AD5D48">
            <w:pPr>
              <w:autoSpaceDE w:val="0"/>
              <w:autoSpaceDN w:val="0"/>
              <w:adjustRightInd w:val="0"/>
              <w:spacing w:before="40" w:after="40"/>
              <w:ind w:right="122"/>
              <w:jc w:val="right"/>
              <w:rPr>
                <w:rFonts w:ascii="Arial-BoldMT" w:hAnsi="Arial-BoldMT" w:cs="Arial-BoldMT"/>
                <w:b/>
                <w:bCs/>
                <w:color w:val="000000"/>
                <w:sz w:val="24"/>
                <w:szCs w:val="24"/>
              </w:rPr>
            </w:pPr>
            <w:r>
              <w:rPr>
                <w:rFonts w:ascii="Arial-BoldMT" w:hAnsi="Arial-BoldMT" w:cs="Arial-BoldMT"/>
                <w:b/>
                <w:bCs/>
                <w:color w:val="000000"/>
                <w:sz w:val="24"/>
                <w:szCs w:val="24"/>
              </w:rPr>
              <w:t>£116,800</w:t>
            </w:r>
          </w:p>
        </w:tc>
      </w:tr>
    </w:tbl>
    <w:p w:rsidR="00DF35BA" w:rsidRDefault="00DF35BA" w:rsidP="008F02B3">
      <w:pPr>
        <w:autoSpaceDE w:val="0"/>
        <w:autoSpaceDN w:val="0"/>
        <w:adjustRightInd w:val="0"/>
        <w:spacing w:after="0" w:line="240" w:lineRule="auto"/>
        <w:rPr>
          <w:rFonts w:ascii="Arial-BoldMT" w:hAnsi="Arial-BoldMT" w:cs="Arial-BoldMT"/>
          <w:b/>
          <w:bCs/>
          <w:color w:val="FF6D02"/>
          <w:sz w:val="28"/>
          <w:szCs w:val="28"/>
        </w:rPr>
      </w:pPr>
    </w:p>
    <w:p w:rsidR="00DF35BA" w:rsidRDefault="00DF35BA" w:rsidP="008F02B3">
      <w:pPr>
        <w:autoSpaceDE w:val="0"/>
        <w:autoSpaceDN w:val="0"/>
        <w:adjustRightInd w:val="0"/>
        <w:spacing w:after="0" w:line="240" w:lineRule="auto"/>
        <w:rPr>
          <w:rFonts w:ascii="Arial-BoldMT" w:hAnsi="Arial-BoldMT" w:cs="Arial-BoldMT"/>
          <w:b/>
          <w:bCs/>
          <w:color w:val="FF6D02"/>
          <w:sz w:val="28"/>
          <w:szCs w:val="28"/>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Set a date</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 Year is the most popular time to quit smoking – around half a million smokers will make</w:t>
      </w:r>
      <w:r w:rsidR="00DF35BA">
        <w:rPr>
          <w:rFonts w:ascii="ArialMT" w:hAnsi="ArialMT" w:cs="ArialMT"/>
          <w:color w:val="000000"/>
          <w:sz w:val="24"/>
          <w:szCs w:val="24"/>
        </w:rPr>
        <w:t xml:space="preserve"> </w:t>
      </w:r>
      <w:r>
        <w:rPr>
          <w:rFonts w:ascii="ArialMT" w:hAnsi="ArialMT" w:cs="ArialMT"/>
          <w:color w:val="000000"/>
          <w:sz w:val="24"/>
          <w:szCs w:val="24"/>
        </w:rPr>
        <w:t>a quit attempt at this time of year. Others pick their birthday, No Smoking Day - the second</w:t>
      </w:r>
      <w:r w:rsidR="00DF35BA">
        <w:rPr>
          <w:rFonts w:ascii="ArialMT" w:hAnsi="ArialMT" w:cs="ArialMT"/>
          <w:color w:val="000000"/>
          <w:sz w:val="24"/>
          <w:szCs w:val="24"/>
        </w:rPr>
        <w:t xml:space="preserve"> </w:t>
      </w:r>
      <w:r>
        <w:rPr>
          <w:rFonts w:ascii="ArialMT" w:hAnsi="ArialMT" w:cs="ArialMT"/>
          <w:color w:val="000000"/>
          <w:sz w:val="24"/>
          <w:szCs w:val="24"/>
        </w:rPr>
        <w:t>Wednesday of every March – or Stoptober as their day to go smokefree.</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Ultimately, any day will do: the act of choosing a date will help you to focus and plan.</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8F02B3"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Involve family and friends</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If you live with someone else who smokes, it will be much easier to quit if they quit with you.</w:t>
      </w:r>
      <w:r w:rsidR="003C398B">
        <w:rPr>
          <w:rFonts w:ascii="ArialMT" w:hAnsi="ArialMT" w:cs="ArialMT"/>
          <w:color w:val="000000"/>
          <w:sz w:val="24"/>
          <w:szCs w:val="24"/>
        </w:rPr>
        <w:t xml:space="preserve"> </w:t>
      </w:r>
      <w:r>
        <w:rPr>
          <w:rFonts w:ascii="ArialMT" w:hAnsi="ArialMT" w:cs="ArialMT"/>
          <w:color w:val="000000"/>
          <w:sz w:val="24"/>
          <w:szCs w:val="24"/>
        </w:rPr>
        <w:t>One common mistake is to underestimate the emotional energy it can take to quit smoking.</w:t>
      </w:r>
      <w:r w:rsidR="003C398B">
        <w:rPr>
          <w:rFonts w:ascii="ArialMT" w:hAnsi="ArialMT" w:cs="ArialMT"/>
          <w:color w:val="000000"/>
          <w:sz w:val="24"/>
          <w:szCs w:val="24"/>
        </w:rPr>
        <w:t xml:space="preserve"> </w:t>
      </w:r>
      <w:r>
        <w:rPr>
          <w:rFonts w:ascii="ArialMT" w:hAnsi="ArialMT" w:cs="ArialMT"/>
          <w:color w:val="000000"/>
          <w:sz w:val="24"/>
          <w:szCs w:val="24"/>
        </w:rPr>
        <w:t>Making a strong commitment will put you in the right frame of mind.</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C398B"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Deal with the nicotine withdrawal</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Nicotine is highly </w:t>
      </w:r>
      <w:r w:rsidR="003C398B">
        <w:rPr>
          <w:rFonts w:ascii="ArialMT" w:hAnsi="ArialMT" w:cs="ArialMT"/>
          <w:color w:val="000000"/>
          <w:sz w:val="24"/>
          <w:szCs w:val="24"/>
        </w:rPr>
        <w:t>addictive,</w:t>
      </w:r>
      <w:r>
        <w:rPr>
          <w:rFonts w:ascii="ArialMT" w:hAnsi="ArialMT" w:cs="ArialMT"/>
          <w:color w:val="000000"/>
          <w:sz w:val="24"/>
          <w:szCs w:val="24"/>
        </w:rPr>
        <w:t xml:space="preserve"> but you can double</w:t>
      </w:r>
      <w:r w:rsidR="003C398B">
        <w:rPr>
          <w:rFonts w:ascii="ArialMT" w:hAnsi="ArialMT" w:cs="ArialMT"/>
          <w:color w:val="000000"/>
          <w:sz w:val="24"/>
          <w:szCs w:val="24"/>
        </w:rPr>
        <w:t xml:space="preserve"> </w:t>
      </w:r>
      <w:r>
        <w:rPr>
          <w:rFonts w:ascii="ArialMT" w:hAnsi="ArialMT" w:cs="ArialMT"/>
          <w:color w:val="000000"/>
          <w:sz w:val="24"/>
          <w:szCs w:val="24"/>
        </w:rPr>
        <w:t xml:space="preserve">your chance of quitting successfully if you use </w:t>
      </w:r>
      <w:r w:rsidR="003C398B">
        <w:rPr>
          <w:rFonts w:ascii="ArialMT" w:hAnsi="ArialMT" w:cs="ArialMT"/>
          <w:color w:val="000000"/>
          <w:sz w:val="24"/>
          <w:szCs w:val="24"/>
        </w:rPr>
        <w:t>stop smoking medications. There are a few options: Nicotine</w:t>
      </w:r>
      <w:r>
        <w:rPr>
          <w:rFonts w:ascii="ArialMT" w:hAnsi="ArialMT" w:cs="ArialMT"/>
          <w:color w:val="000000"/>
          <w:sz w:val="24"/>
          <w:szCs w:val="24"/>
        </w:rPr>
        <w:t xml:space="preserve"> containing products</w:t>
      </w:r>
      <w:r w:rsidR="003C398B">
        <w:rPr>
          <w:rFonts w:ascii="ArialMT" w:hAnsi="ArialMT" w:cs="ArialMT"/>
          <w:color w:val="000000"/>
          <w:sz w:val="24"/>
          <w:szCs w:val="24"/>
        </w:rPr>
        <w:t xml:space="preserve"> (NRT)</w:t>
      </w:r>
      <w:r>
        <w:rPr>
          <w:rFonts w:ascii="ArialMT" w:hAnsi="ArialMT" w:cs="ArialMT"/>
          <w:color w:val="000000"/>
          <w:sz w:val="24"/>
          <w:szCs w:val="24"/>
        </w:rPr>
        <w:t xml:space="preserve"> such as patches,</w:t>
      </w:r>
      <w:r w:rsidR="003C398B">
        <w:rPr>
          <w:rFonts w:ascii="ArialMT" w:hAnsi="ArialMT" w:cs="ArialMT"/>
          <w:color w:val="000000"/>
          <w:sz w:val="24"/>
          <w:szCs w:val="24"/>
        </w:rPr>
        <w:t xml:space="preserve"> sprays, </w:t>
      </w:r>
      <w:r>
        <w:rPr>
          <w:rFonts w:ascii="ArialMT" w:hAnsi="ArialMT" w:cs="ArialMT"/>
          <w:color w:val="000000"/>
          <w:sz w:val="24"/>
          <w:szCs w:val="24"/>
        </w:rPr>
        <w:t>lozenges, inhalers, or gum. There is also some evidence that electronic cigarettes are</w:t>
      </w:r>
      <w:r w:rsidR="003C398B">
        <w:rPr>
          <w:rFonts w:ascii="ArialMT" w:hAnsi="ArialMT" w:cs="ArialMT"/>
          <w:color w:val="000000"/>
          <w:sz w:val="24"/>
          <w:szCs w:val="24"/>
        </w:rPr>
        <w:t xml:space="preserve"> </w:t>
      </w:r>
      <w:r>
        <w:rPr>
          <w:rFonts w:ascii="ArialMT" w:hAnsi="ArialMT" w:cs="ArialMT"/>
          <w:color w:val="000000"/>
          <w:sz w:val="24"/>
          <w:szCs w:val="24"/>
        </w:rPr>
        <w:t>effective as quit aids. The idea is to wean yourself off nicotine by gradually reducing your</w:t>
      </w:r>
      <w:r w:rsidR="003C398B">
        <w:rPr>
          <w:rFonts w:ascii="ArialMT" w:hAnsi="ArialMT" w:cs="ArialMT"/>
          <w:color w:val="000000"/>
          <w:sz w:val="24"/>
          <w:szCs w:val="24"/>
        </w:rPr>
        <w:t xml:space="preserve"> </w:t>
      </w:r>
      <w:r>
        <w:rPr>
          <w:rFonts w:ascii="ArialMT" w:hAnsi="ArialMT" w:cs="ArialMT"/>
          <w:color w:val="000000"/>
          <w:sz w:val="24"/>
          <w:szCs w:val="24"/>
        </w:rPr>
        <w:t xml:space="preserve">intake until you don’t need it any more. </w:t>
      </w:r>
      <w:r w:rsidR="003C398B">
        <w:rPr>
          <w:rFonts w:ascii="ArialMT" w:hAnsi="ArialMT" w:cs="ArialMT"/>
          <w:color w:val="000000"/>
          <w:sz w:val="24"/>
          <w:szCs w:val="24"/>
        </w:rPr>
        <w:t xml:space="preserve">There are two alternatives to nicotine products: Zyban (bupropion) and Champix (varenicline) which are only available on prescription. </w:t>
      </w:r>
      <w:r>
        <w:rPr>
          <w:rFonts w:ascii="ArialMT" w:hAnsi="ArialMT" w:cs="ArialMT"/>
          <w:color w:val="000000"/>
          <w:sz w:val="24"/>
          <w:szCs w:val="24"/>
        </w:rPr>
        <w:t xml:space="preserve">Currently, the evidence suggests the </w:t>
      </w:r>
      <w:r w:rsidR="003C398B">
        <w:rPr>
          <w:rFonts w:ascii="ArialMT" w:hAnsi="ArialMT" w:cs="ArialMT"/>
          <w:color w:val="000000"/>
          <w:sz w:val="24"/>
          <w:szCs w:val="24"/>
        </w:rPr>
        <w:t>Smokefree services</w:t>
      </w:r>
      <w:r>
        <w:rPr>
          <w:rFonts w:ascii="ArialMT" w:hAnsi="ArialMT" w:cs="ArialMT"/>
          <w:color w:val="000000"/>
          <w:sz w:val="24"/>
          <w:szCs w:val="24"/>
        </w:rPr>
        <w:t>, which</w:t>
      </w:r>
      <w:r w:rsidR="003C398B">
        <w:rPr>
          <w:rFonts w:ascii="ArialMT" w:hAnsi="ArialMT" w:cs="ArialMT"/>
          <w:color w:val="000000"/>
          <w:sz w:val="24"/>
          <w:szCs w:val="24"/>
        </w:rPr>
        <w:t xml:space="preserve"> </w:t>
      </w:r>
      <w:r>
        <w:rPr>
          <w:rFonts w:ascii="ArialMT" w:hAnsi="ArialMT" w:cs="ArialMT"/>
          <w:color w:val="000000"/>
          <w:sz w:val="24"/>
          <w:szCs w:val="24"/>
        </w:rPr>
        <w:t>combine behavioural support with licensed nicotine replacement therapy, offer the greatest</w:t>
      </w:r>
      <w:r w:rsidR="003C398B">
        <w:rPr>
          <w:rFonts w:ascii="ArialMT" w:hAnsi="ArialMT" w:cs="ArialMT"/>
          <w:color w:val="000000"/>
          <w:sz w:val="24"/>
          <w:szCs w:val="24"/>
        </w:rPr>
        <w:t xml:space="preserve"> </w:t>
      </w:r>
      <w:r>
        <w:rPr>
          <w:rFonts w:ascii="ArialMT" w:hAnsi="ArialMT" w:cs="ArialMT"/>
          <w:color w:val="000000"/>
          <w:sz w:val="24"/>
          <w:szCs w:val="24"/>
        </w:rPr>
        <w:t>chance of quitting successfully.</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80251" w:rsidRDefault="00380251" w:rsidP="008F02B3">
      <w:pPr>
        <w:autoSpaceDE w:val="0"/>
        <w:autoSpaceDN w:val="0"/>
        <w:adjustRightInd w:val="0"/>
        <w:spacing w:after="0" w:line="240" w:lineRule="auto"/>
        <w:rPr>
          <w:rFonts w:ascii="ArialMT" w:hAnsi="ArialMT" w:cs="ArialMT"/>
          <w:color w:val="000000"/>
          <w:sz w:val="24"/>
          <w:szCs w:val="24"/>
        </w:rPr>
      </w:pPr>
    </w:p>
    <w:p w:rsidR="003C398B"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Other treatments may help</w:t>
      </w:r>
    </w:p>
    <w:p w:rsidR="008F02B3" w:rsidRDefault="008F02B3" w:rsidP="003C398B">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Hypnosis, acupuncture or other treatments may help some people but there is little evidence</w:t>
      </w:r>
      <w:r w:rsidR="003C398B">
        <w:rPr>
          <w:rFonts w:ascii="ArialMT" w:hAnsi="ArialMT" w:cs="ArialMT"/>
          <w:color w:val="000000"/>
          <w:sz w:val="24"/>
          <w:szCs w:val="24"/>
        </w:rPr>
        <w:t xml:space="preserve"> </w:t>
      </w:r>
      <w:r>
        <w:rPr>
          <w:rFonts w:ascii="ArialMT" w:hAnsi="ArialMT" w:cs="ArialMT"/>
          <w:color w:val="000000"/>
          <w:sz w:val="24"/>
          <w:szCs w:val="24"/>
        </w:rPr>
        <w:t>to support their effectiveness. Herbal cigarettes are not a suitable</w:t>
      </w:r>
      <w:r w:rsidR="003C398B">
        <w:rPr>
          <w:rFonts w:ascii="ArialMT" w:hAnsi="ArialMT" w:cs="ArialMT"/>
          <w:color w:val="000000"/>
          <w:sz w:val="24"/>
          <w:szCs w:val="24"/>
        </w:rPr>
        <w:t xml:space="preserve"> </w:t>
      </w:r>
      <w:r>
        <w:rPr>
          <w:rFonts w:ascii="ArialMT" w:hAnsi="ArialMT" w:cs="ArialMT"/>
          <w:color w:val="000000"/>
          <w:sz w:val="24"/>
          <w:szCs w:val="24"/>
        </w:rPr>
        <w:t>alternative - you continue to</w:t>
      </w:r>
      <w:r w:rsidR="003C398B">
        <w:rPr>
          <w:rFonts w:ascii="ArialMT" w:hAnsi="ArialMT" w:cs="ArialMT"/>
          <w:color w:val="000000"/>
          <w:sz w:val="24"/>
          <w:szCs w:val="24"/>
        </w:rPr>
        <w:t xml:space="preserve"> </w:t>
      </w:r>
      <w:r>
        <w:rPr>
          <w:rFonts w:ascii="ArialMT" w:hAnsi="ArialMT" w:cs="ArialMT"/>
          <w:color w:val="000000"/>
          <w:sz w:val="24"/>
          <w:szCs w:val="24"/>
        </w:rPr>
        <w:t xml:space="preserve">get all the tar, but nothing to help you deal with nicotine withdrawal. </w:t>
      </w:r>
    </w:p>
    <w:p w:rsidR="003C398B" w:rsidRDefault="003C398B" w:rsidP="003C398B">
      <w:pPr>
        <w:autoSpaceDE w:val="0"/>
        <w:autoSpaceDN w:val="0"/>
        <w:adjustRightInd w:val="0"/>
        <w:spacing w:after="0" w:line="240" w:lineRule="auto"/>
        <w:rPr>
          <w:rFonts w:ascii="ArialMT" w:hAnsi="ArialMT" w:cs="ArialMT"/>
          <w:color w:val="000000"/>
          <w:sz w:val="24"/>
          <w:szCs w:val="24"/>
        </w:rPr>
      </w:pPr>
    </w:p>
    <w:p w:rsidR="003C398B"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Find a temporary substitute habit</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Smoking a cigarette gives smokers something to do with their hands or mouth. The popularity</w:t>
      </w:r>
      <w:r w:rsidR="003C398B">
        <w:rPr>
          <w:rFonts w:ascii="ArialMT" w:hAnsi="ArialMT" w:cs="ArialMT"/>
          <w:color w:val="000000"/>
          <w:sz w:val="24"/>
          <w:szCs w:val="24"/>
        </w:rPr>
        <w:t xml:space="preserve"> </w:t>
      </w:r>
      <w:r>
        <w:rPr>
          <w:rFonts w:ascii="ArialMT" w:hAnsi="ArialMT" w:cs="ArialMT"/>
          <w:color w:val="000000"/>
          <w:sz w:val="24"/>
          <w:szCs w:val="24"/>
        </w:rPr>
        <w:t>of electronic cigarettes may, in part, be due to their satisfying this need. Alternatively, you could</w:t>
      </w:r>
      <w:r w:rsidR="003C398B">
        <w:rPr>
          <w:rFonts w:ascii="ArialMT" w:hAnsi="ArialMT" w:cs="ArialMT"/>
          <w:color w:val="000000"/>
          <w:sz w:val="24"/>
          <w:szCs w:val="24"/>
        </w:rPr>
        <w:t xml:space="preserve"> </w:t>
      </w:r>
      <w:r>
        <w:rPr>
          <w:rFonts w:ascii="ArialMT" w:hAnsi="ArialMT" w:cs="ArialMT"/>
          <w:color w:val="000000"/>
          <w:sz w:val="24"/>
          <w:szCs w:val="24"/>
        </w:rPr>
        <w:t xml:space="preserve">chew gum, drink more water, fruit juice or tea, or </w:t>
      </w:r>
      <w:r w:rsidR="003C398B">
        <w:rPr>
          <w:rFonts w:ascii="ArialMT" w:hAnsi="ArialMT" w:cs="ArialMT"/>
          <w:color w:val="000000"/>
          <w:sz w:val="24"/>
          <w:szCs w:val="24"/>
        </w:rPr>
        <w:t>eat something</w:t>
      </w:r>
      <w:r>
        <w:rPr>
          <w:rFonts w:ascii="ArialMT" w:hAnsi="ArialMT" w:cs="ArialMT"/>
          <w:color w:val="000000"/>
          <w:sz w:val="24"/>
          <w:szCs w:val="24"/>
        </w:rPr>
        <w:t xml:space="preserve"> (but see section on weight gain</w:t>
      </w:r>
      <w:r w:rsidR="003C398B">
        <w:rPr>
          <w:rFonts w:ascii="ArialMT" w:hAnsi="ArialMT" w:cs="ArialMT"/>
          <w:color w:val="000000"/>
          <w:sz w:val="24"/>
          <w:szCs w:val="24"/>
        </w:rPr>
        <w:t xml:space="preserve"> </w:t>
      </w:r>
      <w:r>
        <w:rPr>
          <w:rFonts w:ascii="ArialMT" w:hAnsi="ArialMT" w:cs="ArialMT"/>
          <w:color w:val="000000"/>
          <w:sz w:val="24"/>
          <w:szCs w:val="24"/>
        </w:rPr>
        <w:t>below!).</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C398B"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Deal with any weight gain worries</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Some, but not all, smokers gain weight when they quit. Nicotine changes the appetite and</w:t>
      </w:r>
      <w:r w:rsidR="003C398B">
        <w:rPr>
          <w:rFonts w:ascii="ArialMT" w:hAnsi="ArialMT" w:cs="ArialMT"/>
          <w:color w:val="000000"/>
          <w:sz w:val="24"/>
          <w:szCs w:val="24"/>
        </w:rPr>
        <w:t xml:space="preserve"> </w:t>
      </w:r>
      <w:r>
        <w:rPr>
          <w:rFonts w:ascii="ArialMT" w:hAnsi="ArialMT" w:cs="ArialMT"/>
          <w:color w:val="000000"/>
          <w:sz w:val="24"/>
          <w:szCs w:val="24"/>
        </w:rPr>
        <w:t>body’s energy use (metabolism). Even if you do gain some weight it will be worth it in the long</w:t>
      </w:r>
      <w:r w:rsidR="003C398B">
        <w:rPr>
          <w:rFonts w:ascii="ArialMT" w:hAnsi="ArialMT" w:cs="ArialMT"/>
          <w:color w:val="000000"/>
          <w:sz w:val="24"/>
          <w:szCs w:val="24"/>
        </w:rPr>
        <w:t xml:space="preserve"> </w:t>
      </w:r>
      <w:r>
        <w:rPr>
          <w:rFonts w:ascii="ArialMT" w:hAnsi="ArialMT" w:cs="ArialMT"/>
          <w:color w:val="000000"/>
          <w:sz w:val="24"/>
          <w:szCs w:val="24"/>
        </w:rPr>
        <w:t>run – and you can always lose it. However, if you want to avoid weight-gain in the first place</w:t>
      </w:r>
      <w:r w:rsidR="003C398B">
        <w:rPr>
          <w:rFonts w:ascii="ArialMT" w:hAnsi="ArialMT" w:cs="ArialMT"/>
          <w:color w:val="000000"/>
          <w:sz w:val="24"/>
          <w:szCs w:val="24"/>
        </w:rPr>
        <w:t xml:space="preserve"> </w:t>
      </w:r>
      <w:r>
        <w:rPr>
          <w:rFonts w:ascii="ArialMT" w:hAnsi="ArialMT" w:cs="ArialMT"/>
          <w:color w:val="000000"/>
          <w:sz w:val="24"/>
          <w:szCs w:val="24"/>
        </w:rPr>
        <w:t>then you may like to prepare. For example, you could change your diet, avoid alcohol, or take</w:t>
      </w:r>
      <w:r w:rsidR="003C398B">
        <w:rPr>
          <w:rFonts w:ascii="ArialMT" w:hAnsi="ArialMT" w:cs="ArialMT"/>
          <w:color w:val="000000"/>
          <w:sz w:val="24"/>
          <w:szCs w:val="24"/>
        </w:rPr>
        <w:t xml:space="preserve"> </w:t>
      </w:r>
      <w:r>
        <w:rPr>
          <w:rFonts w:ascii="ArialMT" w:hAnsi="ArialMT" w:cs="ArialMT"/>
          <w:color w:val="000000"/>
          <w:sz w:val="24"/>
          <w:szCs w:val="24"/>
        </w:rPr>
        <w:t xml:space="preserve">more exercise. </w:t>
      </w:r>
      <w:r w:rsidR="003C398B">
        <w:rPr>
          <w:rFonts w:ascii="ArialMT" w:hAnsi="ArialMT" w:cs="ArialMT"/>
          <w:color w:val="000000"/>
          <w:sz w:val="24"/>
          <w:szCs w:val="24"/>
        </w:rPr>
        <w:t>A Smokefree</w:t>
      </w:r>
      <w:r>
        <w:rPr>
          <w:rFonts w:ascii="ArialMT" w:hAnsi="ArialMT" w:cs="ArialMT"/>
          <w:color w:val="000000"/>
          <w:sz w:val="24"/>
          <w:szCs w:val="24"/>
        </w:rPr>
        <w:t xml:space="preserve"> Advisor will be able to discuss the options with you or</w:t>
      </w:r>
      <w:r w:rsidR="003C398B">
        <w:rPr>
          <w:rFonts w:ascii="ArialMT" w:hAnsi="ArialMT" w:cs="ArialMT"/>
          <w:color w:val="000000"/>
          <w:sz w:val="24"/>
          <w:szCs w:val="24"/>
        </w:rPr>
        <w:t xml:space="preserve"> </w:t>
      </w:r>
      <w:r>
        <w:rPr>
          <w:rFonts w:ascii="ArialMT" w:hAnsi="ArialMT" w:cs="ArialMT"/>
          <w:color w:val="000000"/>
          <w:sz w:val="24"/>
          <w:szCs w:val="24"/>
        </w:rPr>
        <w:t>your GP can refer you to a dietician.</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C398B"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Avoid temptation</w:t>
      </w:r>
    </w:p>
    <w:p w:rsidR="008F02B3" w:rsidRDefault="008F02B3" w:rsidP="008F02B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For the first few days it is advisable to change your routine to avoid situations where you would</w:t>
      </w:r>
      <w:r w:rsidR="003C398B">
        <w:rPr>
          <w:rFonts w:ascii="ArialMT" w:hAnsi="ArialMT" w:cs="ArialMT"/>
          <w:color w:val="000000"/>
          <w:sz w:val="24"/>
          <w:szCs w:val="24"/>
        </w:rPr>
        <w:t xml:space="preserve"> </w:t>
      </w:r>
      <w:r>
        <w:rPr>
          <w:rFonts w:ascii="ArialMT" w:hAnsi="ArialMT" w:cs="ArialMT"/>
          <w:color w:val="000000"/>
          <w:sz w:val="24"/>
          <w:szCs w:val="24"/>
        </w:rPr>
        <w:t>usually smoke.</w:t>
      </w:r>
    </w:p>
    <w:p w:rsidR="003C398B" w:rsidRDefault="003C398B" w:rsidP="008F02B3">
      <w:pPr>
        <w:autoSpaceDE w:val="0"/>
        <w:autoSpaceDN w:val="0"/>
        <w:adjustRightInd w:val="0"/>
        <w:spacing w:after="0" w:line="240" w:lineRule="auto"/>
        <w:rPr>
          <w:rFonts w:ascii="ArialMT" w:hAnsi="ArialMT" w:cs="ArialMT"/>
          <w:color w:val="000000"/>
          <w:sz w:val="24"/>
          <w:szCs w:val="24"/>
        </w:rPr>
      </w:pPr>
    </w:p>
    <w:p w:rsidR="00380251" w:rsidRDefault="008F02B3" w:rsidP="008F02B3">
      <w:pPr>
        <w:autoSpaceDE w:val="0"/>
        <w:autoSpaceDN w:val="0"/>
        <w:adjustRightInd w:val="0"/>
        <w:spacing w:after="0" w:line="240" w:lineRule="auto"/>
        <w:rPr>
          <w:rFonts w:ascii="Arial-BoldMT" w:hAnsi="Arial-BoldMT" w:cs="Arial-BoldMT"/>
          <w:b/>
          <w:bCs/>
          <w:color w:val="FF6D02"/>
          <w:sz w:val="28"/>
          <w:szCs w:val="28"/>
        </w:rPr>
      </w:pPr>
      <w:r>
        <w:rPr>
          <w:rFonts w:ascii="Arial-BoldMT" w:hAnsi="Arial-BoldMT" w:cs="Arial-BoldMT"/>
          <w:b/>
          <w:bCs/>
          <w:color w:val="FF6D02"/>
          <w:sz w:val="28"/>
          <w:szCs w:val="28"/>
        </w:rPr>
        <w:t>Watch out for relapse</w:t>
      </w:r>
    </w:p>
    <w:p w:rsidR="0034311F" w:rsidRDefault="008F02B3" w:rsidP="00380251">
      <w:pPr>
        <w:autoSpaceDE w:val="0"/>
        <w:autoSpaceDN w:val="0"/>
        <w:adjustRightInd w:val="0"/>
        <w:spacing w:after="0" w:line="240" w:lineRule="auto"/>
      </w:pPr>
      <w:r>
        <w:rPr>
          <w:rFonts w:ascii="ArialMT" w:hAnsi="ArialMT" w:cs="ArialMT"/>
          <w:color w:val="000000"/>
          <w:sz w:val="24"/>
          <w:szCs w:val="24"/>
        </w:rPr>
        <w:t>You will need to be on your guard especially in the first few days and weeks. “I’ll have just one,</w:t>
      </w:r>
      <w:r w:rsidR="00380251">
        <w:rPr>
          <w:rFonts w:ascii="ArialMT" w:hAnsi="ArialMT" w:cs="ArialMT"/>
          <w:color w:val="000000"/>
          <w:sz w:val="24"/>
          <w:szCs w:val="24"/>
        </w:rPr>
        <w:t xml:space="preserve"> </w:t>
      </w:r>
      <w:r>
        <w:rPr>
          <w:rFonts w:ascii="ArialMT" w:hAnsi="ArialMT" w:cs="ArialMT"/>
          <w:color w:val="000000"/>
          <w:sz w:val="24"/>
          <w:szCs w:val="24"/>
        </w:rPr>
        <w:t>it can’t harm” could lead to relapse and a return to smoking. If you feel under pressure, it is</w:t>
      </w:r>
      <w:r w:rsidR="00380251">
        <w:rPr>
          <w:rFonts w:ascii="ArialMT" w:hAnsi="ArialMT" w:cs="ArialMT"/>
          <w:color w:val="000000"/>
          <w:sz w:val="24"/>
          <w:szCs w:val="24"/>
        </w:rPr>
        <w:t xml:space="preserve"> </w:t>
      </w:r>
      <w:r>
        <w:rPr>
          <w:rFonts w:ascii="ArialMT" w:hAnsi="ArialMT" w:cs="ArialMT"/>
          <w:color w:val="000000"/>
          <w:sz w:val="24"/>
          <w:szCs w:val="24"/>
        </w:rPr>
        <w:t>really important to fight off the temptation to smoke – don’t let this be a reason for slipping back.</w:t>
      </w:r>
      <w:r w:rsidR="00380251">
        <w:rPr>
          <w:rFonts w:ascii="ArialMT" w:hAnsi="ArialMT" w:cs="ArialMT"/>
          <w:color w:val="000000"/>
          <w:sz w:val="24"/>
          <w:szCs w:val="24"/>
        </w:rPr>
        <w:t xml:space="preserve"> </w:t>
      </w:r>
      <w:r>
        <w:rPr>
          <w:rFonts w:ascii="ArialMT" w:hAnsi="ArialMT" w:cs="ArialMT"/>
          <w:color w:val="000000"/>
          <w:sz w:val="24"/>
          <w:szCs w:val="24"/>
        </w:rPr>
        <w:t>It is a good idea to prepare some alternative strategies for coping with stress if your usual</w:t>
      </w:r>
      <w:r w:rsidR="00380251">
        <w:rPr>
          <w:rFonts w:ascii="ArialMT" w:hAnsi="ArialMT" w:cs="ArialMT"/>
          <w:color w:val="000000"/>
          <w:sz w:val="24"/>
          <w:szCs w:val="24"/>
        </w:rPr>
        <w:t xml:space="preserve"> </w:t>
      </w:r>
      <w:r>
        <w:rPr>
          <w:rFonts w:ascii="ArialMT" w:hAnsi="ArialMT" w:cs="ArialMT"/>
          <w:color w:val="000000"/>
          <w:sz w:val="24"/>
          <w:szCs w:val="24"/>
        </w:rPr>
        <w:t xml:space="preserve">coping mechanism is to have a cigarette. </w:t>
      </w:r>
      <w:r w:rsidR="00380251">
        <w:rPr>
          <w:rFonts w:ascii="ArialMT" w:hAnsi="ArialMT" w:cs="ArialMT"/>
          <w:color w:val="000000"/>
          <w:sz w:val="24"/>
          <w:szCs w:val="24"/>
        </w:rPr>
        <w:t>A Smokefree</w:t>
      </w:r>
      <w:r>
        <w:rPr>
          <w:rFonts w:ascii="ArialMT" w:hAnsi="ArialMT" w:cs="ArialMT"/>
          <w:color w:val="000000"/>
          <w:sz w:val="24"/>
          <w:szCs w:val="24"/>
        </w:rPr>
        <w:t xml:space="preserve"> Advisor can discuss coping</w:t>
      </w:r>
      <w:r w:rsidR="00380251">
        <w:rPr>
          <w:rFonts w:ascii="ArialMT" w:hAnsi="ArialMT" w:cs="ArialMT"/>
          <w:color w:val="000000"/>
          <w:sz w:val="24"/>
          <w:szCs w:val="24"/>
        </w:rPr>
        <w:t xml:space="preserve"> </w:t>
      </w:r>
      <w:r>
        <w:rPr>
          <w:rFonts w:ascii="ArialMT" w:hAnsi="ArialMT" w:cs="ArialMT"/>
          <w:color w:val="000000"/>
          <w:sz w:val="24"/>
          <w:szCs w:val="24"/>
        </w:rPr>
        <w:t xml:space="preserve">strategies with </w:t>
      </w:r>
      <w:r w:rsidR="00380251">
        <w:rPr>
          <w:rFonts w:ascii="ArialMT" w:hAnsi="ArialMT" w:cs="ArialMT"/>
          <w:color w:val="000000"/>
          <w:sz w:val="24"/>
          <w:szCs w:val="24"/>
        </w:rPr>
        <w:t>you or</w:t>
      </w:r>
      <w:r>
        <w:rPr>
          <w:rFonts w:ascii="ArialMT" w:hAnsi="ArialMT" w:cs="ArialMT"/>
          <w:color w:val="000000"/>
          <w:sz w:val="24"/>
          <w:szCs w:val="24"/>
        </w:rPr>
        <w:t xml:space="preserve"> speak to your non-smoking friends to get some ideas about how they</w:t>
      </w:r>
      <w:r w:rsidR="00380251">
        <w:rPr>
          <w:rFonts w:ascii="ArialMT" w:hAnsi="ArialMT" w:cs="ArialMT"/>
          <w:color w:val="000000"/>
          <w:sz w:val="24"/>
          <w:szCs w:val="24"/>
        </w:rPr>
        <w:t xml:space="preserve"> </w:t>
      </w:r>
      <w:r>
        <w:rPr>
          <w:rFonts w:ascii="ArialMT" w:hAnsi="ArialMT" w:cs="ArialMT"/>
          <w:color w:val="000000"/>
          <w:sz w:val="24"/>
          <w:szCs w:val="24"/>
        </w:rPr>
        <w:t>deal with stress.</w:t>
      </w:r>
    </w:p>
    <w:sectPr w:rsidR="00343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483E"/>
    <w:multiLevelType w:val="hybridMultilevel"/>
    <w:tmpl w:val="7E40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D510B"/>
    <w:multiLevelType w:val="hybridMultilevel"/>
    <w:tmpl w:val="88A0C6A2"/>
    <w:lvl w:ilvl="0" w:tplc="0809000F">
      <w:start w:val="1"/>
      <w:numFmt w:val="decimal"/>
      <w:lvlText w:val="%1."/>
      <w:lvlJc w:val="left"/>
      <w:pPr>
        <w:ind w:left="360" w:hanging="360"/>
      </w:pPr>
    </w:lvl>
    <w:lvl w:ilvl="1" w:tplc="DD326974">
      <w:numFmt w:val="bullet"/>
      <w:lvlText w:val="•"/>
      <w:lvlJc w:val="left"/>
      <w:pPr>
        <w:ind w:left="1080" w:hanging="360"/>
      </w:pPr>
      <w:rPr>
        <w:rFonts w:ascii="ArialMT" w:eastAsiaTheme="minorHAnsi" w:hAnsi="ArialMT" w:cs="ArialMT"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270366"/>
    <w:multiLevelType w:val="hybridMultilevel"/>
    <w:tmpl w:val="09A2C996"/>
    <w:lvl w:ilvl="0" w:tplc="DD326974">
      <w:numFmt w:val="bullet"/>
      <w:lvlText w:val="•"/>
      <w:lvlJc w:val="left"/>
      <w:pPr>
        <w:ind w:left="360" w:hanging="360"/>
      </w:pPr>
      <w:rPr>
        <w:rFonts w:ascii="ArialMT" w:eastAsiaTheme="minorHAnsi" w:hAnsi="ArialMT" w:cs="ArialMT" w:hint="default"/>
      </w:rPr>
    </w:lvl>
    <w:lvl w:ilvl="1" w:tplc="DD326974">
      <w:numFmt w:val="bullet"/>
      <w:lvlText w:val="•"/>
      <w:lvlJc w:val="left"/>
      <w:pPr>
        <w:ind w:left="1080" w:hanging="360"/>
      </w:pPr>
      <w:rPr>
        <w:rFonts w:ascii="ArialMT" w:eastAsiaTheme="minorHAnsi" w:hAnsi="ArialMT" w:cs="ArialMT"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DF261B"/>
    <w:multiLevelType w:val="hybridMultilevel"/>
    <w:tmpl w:val="2BB63A68"/>
    <w:lvl w:ilvl="0" w:tplc="CA68893C">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3"/>
    <w:rsid w:val="0034311F"/>
    <w:rsid w:val="00380251"/>
    <w:rsid w:val="003C398B"/>
    <w:rsid w:val="008F02B3"/>
    <w:rsid w:val="00A30BE2"/>
    <w:rsid w:val="00AC4165"/>
    <w:rsid w:val="00AD5D48"/>
    <w:rsid w:val="00C33C12"/>
    <w:rsid w:val="00DF35BA"/>
    <w:rsid w:val="00F2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9F1B"/>
  <w15:chartTrackingRefBased/>
  <w15:docId w15:val="{99E2555A-FDAE-4776-9232-33F0CE0A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48"/>
    <w:pPr>
      <w:ind w:left="720"/>
      <w:contextualSpacing/>
    </w:pPr>
  </w:style>
  <w:style w:type="paragraph" w:styleId="BalloonText">
    <w:name w:val="Balloon Text"/>
    <w:basedOn w:val="Normal"/>
    <w:link w:val="BalloonTextChar"/>
    <w:uiPriority w:val="99"/>
    <w:semiHidden/>
    <w:unhideWhenUsed/>
    <w:rsid w:val="00C33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Anna Dedman</cp:lastModifiedBy>
  <cp:revision>4</cp:revision>
  <cp:lastPrinted>2019-10-23T09:17:00Z</cp:lastPrinted>
  <dcterms:created xsi:type="dcterms:W3CDTF">2019-03-28T14:16:00Z</dcterms:created>
  <dcterms:modified xsi:type="dcterms:W3CDTF">2019-10-23T09:44:00Z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-1372604159</vt:i4>
  </property>
  <property fmtid="{D5CDD505-2E9C-101B-9397-08002B2CF9AE}" pid="3" name="_NewReviewCycle">
    <vt:lpwstr/>
  </property>
  <property fmtid="{D5CDD505-2E9C-101B-9397-08002B2CF9AE}" pid="4" name="_EmailSubject">
    <vt:lpwstr>Tesco packs</vt:lpwstr>
  </property>
  <property fmtid="{D5CDD505-2E9C-101B-9397-08002B2CF9AE}" pid="5" name="_AuthorEmail">
    <vt:lpwstr>Christine.Jones@n-somerset.gov.uk</vt:lpwstr>
  </property>
  <property fmtid="{D5CDD505-2E9C-101B-9397-08002B2CF9AE}" pid="6" name="_AuthorEmailDisplayName">
    <vt:lpwstr>Christine Jones</vt:lpwstr>
  </property>
  <property fmtid="{D5CDD505-2E9C-101B-9397-08002B2CF9AE}" pid="7" name="_ReviewingToolsShownOnce">
    <vt:lpwstr/>
  </property>
</Properties>
</file>